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EA433D">
      <w:pPr>
        <w:jc w:val="both"/>
        <w:rPr>
          <w:rFonts w:ascii="Tahoma" w:hAnsi="Tahoma" w:cs="Tahoma"/>
          <w:b/>
          <w:bCs/>
          <w:sz w:val="30"/>
          <w:szCs w:val="30"/>
        </w:rPr>
      </w:pPr>
      <w:r>
        <w:rPr>
          <w:rFonts w:ascii="Tahoma" w:hAnsi="Tahoma" w:cs="Tahoma"/>
          <w:b/>
          <w:bCs/>
          <w:sz w:val="30"/>
          <w:szCs w:val="30"/>
        </w:rPr>
        <w:t>PROTOCOLS FOR PREPARATION OF VALID AGREEMENTS AND LAND DOCUMENTS WITH NBA AUTHENTICATION MADE PURSUANT TO THE LEGAL PRACTITIONERS’ REMUNERATION ORDER, 2023</w:t>
      </w:r>
    </w:p>
    <w:p w14:paraId="69DADCCF">
      <w:pPr>
        <w:jc w:val="both"/>
        <w:rPr>
          <w:rFonts w:ascii="Tahoma" w:hAnsi="Tahoma" w:cs="Tahoma"/>
          <w:b/>
          <w:bCs/>
          <w:sz w:val="30"/>
          <w:szCs w:val="30"/>
        </w:rPr>
      </w:pPr>
      <w:r>
        <w:rPr>
          <w:rFonts w:ascii="Tahoma" w:hAnsi="Tahoma" w:cs="Tahoma"/>
          <w:b/>
          <w:bCs/>
          <w:sz w:val="30"/>
          <w:szCs w:val="30"/>
        </w:rPr>
        <w:t>WHEREAS:</w:t>
      </w:r>
    </w:p>
    <w:p w14:paraId="7DB1244C">
      <w:pPr>
        <w:numPr>
          <w:ilvl w:val="0"/>
          <w:numId w:val="1"/>
        </w:numPr>
        <w:jc w:val="both"/>
        <w:rPr>
          <w:rFonts w:ascii="Tahoma" w:hAnsi="Tahoma" w:cs="Tahoma"/>
          <w:sz w:val="30"/>
          <w:szCs w:val="30"/>
        </w:rPr>
      </w:pPr>
      <w:r>
        <w:rPr>
          <w:rFonts w:ascii="Tahoma" w:hAnsi="Tahoma" w:cs="Tahoma"/>
          <w:sz w:val="30"/>
          <w:szCs w:val="30"/>
        </w:rPr>
        <w:t>All legal practitioners engaged in the preparation of any agreement or land document are to adhere strictly to the fees prescribed in the Scale set out in the Schedule to the Legal Practitioners Remuneration Order, 2023, as follows:</w:t>
      </w:r>
    </w:p>
    <w:p w14:paraId="2E9A65A9">
      <w:pPr>
        <w:numPr>
          <w:ilvl w:val="0"/>
          <w:numId w:val="2"/>
        </w:numPr>
        <w:jc w:val="both"/>
        <w:rPr>
          <w:rFonts w:ascii="Tahoma" w:hAnsi="Tahoma" w:cs="Tahoma"/>
          <w:sz w:val="30"/>
          <w:szCs w:val="30"/>
        </w:rPr>
      </w:pPr>
      <w:r>
        <w:rPr>
          <w:rFonts w:ascii="Tahoma" w:hAnsi="Tahoma" w:cs="Tahoma"/>
          <w:sz w:val="30"/>
          <w:szCs w:val="30"/>
        </w:rPr>
        <w:t>Property Value below N50m 10% (Not negotiable)</w:t>
      </w:r>
    </w:p>
    <w:p w14:paraId="2AE60CD0">
      <w:pPr>
        <w:numPr>
          <w:ilvl w:val="0"/>
          <w:numId w:val="2"/>
        </w:numPr>
        <w:jc w:val="both"/>
        <w:rPr>
          <w:rFonts w:ascii="Tahoma" w:hAnsi="Tahoma" w:cs="Tahoma"/>
          <w:sz w:val="30"/>
          <w:szCs w:val="30"/>
        </w:rPr>
      </w:pPr>
      <w:r>
        <w:rPr>
          <w:rFonts w:ascii="Tahoma" w:hAnsi="Tahoma" w:cs="Tahoma"/>
          <w:sz w:val="30"/>
          <w:szCs w:val="30"/>
        </w:rPr>
        <w:t>Property Value between N50m and N100m: "N5m for the first N50m and 5% of subsequent amount up to N100m;</w:t>
      </w:r>
    </w:p>
    <w:p w14:paraId="56C8DF29">
      <w:pPr>
        <w:numPr>
          <w:ilvl w:val="0"/>
          <w:numId w:val="2"/>
        </w:numPr>
        <w:jc w:val="both"/>
        <w:rPr>
          <w:rFonts w:ascii="Tahoma" w:hAnsi="Tahoma" w:cs="Tahoma"/>
          <w:sz w:val="30"/>
          <w:szCs w:val="30"/>
        </w:rPr>
      </w:pPr>
      <w:r>
        <w:rPr>
          <w:rFonts w:ascii="Tahoma" w:hAnsi="Tahoma" w:cs="Tahoma"/>
          <w:sz w:val="30"/>
          <w:szCs w:val="30"/>
        </w:rPr>
        <w:t>Property Value above N100m;" N7.5m for the first N100m and 3% of subsequent amount</w:t>
      </w:r>
    </w:p>
    <w:p w14:paraId="7F1B7ED7">
      <w:pPr>
        <w:numPr>
          <w:ilvl w:val="0"/>
          <w:numId w:val="1"/>
        </w:numPr>
        <w:jc w:val="both"/>
        <w:rPr>
          <w:rFonts w:ascii="Tahoma" w:hAnsi="Tahoma" w:cs="Tahoma"/>
          <w:sz w:val="30"/>
          <w:szCs w:val="30"/>
        </w:rPr>
      </w:pPr>
      <w:r>
        <w:rPr>
          <w:rFonts w:ascii="Tahoma" w:hAnsi="Tahoma" w:cs="Tahoma"/>
          <w:sz w:val="30"/>
          <w:szCs w:val="30"/>
        </w:rPr>
        <w:t>No legal practitioner shall charge or accept any fee for preparation of any agreement or land document less than the rate prescribed in the Legal Practitioners Remuneration Order 2023, as highlighted in 1 above.</w:t>
      </w:r>
    </w:p>
    <w:p w14:paraId="17BFC1D8">
      <w:pPr>
        <w:numPr>
          <w:ilvl w:val="0"/>
          <w:numId w:val="1"/>
        </w:numPr>
        <w:jc w:val="both"/>
        <w:rPr>
          <w:rFonts w:ascii="Tahoma" w:hAnsi="Tahoma" w:cs="Tahoma"/>
          <w:sz w:val="30"/>
          <w:szCs w:val="30"/>
        </w:rPr>
      </w:pPr>
      <w:r>
        <w:rPr>
          <w:rFonts w:ascii="Tahoma" w:hAnsi="Tahoma" w:cs="Tahoma"/>
          <w:sz w:val="30"/>
          <w:szCs w:val="30"/>
        </w:rPr>
        <w:t>Any legal practitioner who charges or accepts any remuneration less than as prescribed in the Order shall be liable for Unprofessional Conduct as prescribed in the Legal Practitioners' Act.</w:t>
      </w:r>
    </w:p>
    <w:p w14:paraId="4CB9F989">
      <w:pPr>
        <w:numPr>
          <w:ilvl w:val="0"/>
          <w:numId w:val="1"/>
        </w:numPr>
        <w:jc w:val="both"/>
        <w:rPr>
          <w:rFonts w:ascii="Tahoma" w:hAnsi="Tahoma" w:cs="Tahoma"/>
          <w:sz w:val="30"/>
          <w:szCs w:val="30"/>
        </w:rPr>
      </w:pPr>
      <w:r>
        <w:rPr>
          <w:rFonts w:ascii="Tahoma" w:hAnsi="Tahoma" w:cs="Tahoma"/>
          <w:sz w:val="30"/>
          <w:szCs w:val="30"/>
        </w:rPr>
        <w:t>Any document not prepared in accordance with this protocol with the appropriate fee paid and duly authenticated with the seal of the NBA Branch where the property is located shall not be valid for any purposes.</w:t>
      </w:r>
    </w:p>
    <w:p w14:paraId="54CA79E6">
      <w:pPr>
        <w:jc w:val="both"/>
        <w:rPr>
          <w:rFonts w:ascii="Tahoma" w:hAnsi="Tahoma" w:cs="Tahoma"/>
          <w:sz w:val="30"/>
          <w:szCs w:val="30"/>
        </w:rPr>
      </w:pPr>
      <w:r>
        <w:rPr>
          <w:rFonts w:ascii="Tahoma" w:hAnsi="Tahoma" w:cs="Tahoma"/>
          <w:b/>
          <w:bCs/>
          <w:sz w:val="30"/>
          <w:szCs w:val="30"/>
        </w:rPr>
        <w:t>THE NIGERIAN BAR ASSOCIATION BRANCHES IN TARABA STATE, HEREBY</w:t>
      </w:r>
      <w:r>
        <w:rPr>
          <w:rFonts w:ascii="Tahoma" w:hAnsi="Tahoma" w:cs="Tahoma"/>
          <w:sz w:val="30"/>
          <w:szCs w:val="30"/>
        </w:rPr>
        <w:t xml:space="preserve"> jointly make the following regulations as a process to be followed to acquire a valid instrument, agreement or document touching land, as follows:</w:t>
      </w:r>
    </w:p>
    <w:p w14:paraId="2D086C08">
      <w:pPr>
        <w:numPr>
          <w:ilvl w:val="1"/>
          <w:numId w:val="2"/>
        </w:numPr>
        <w:ind w:left="670" w:leftChars="0" w:hanging="670" w:firstLineChars="0"/>
        <w:jc w:val="both"/>
        <w:rPr>
          <w:rFonts w:ascii="Tahoma" w:hAnsi="Tahoma" w:cs="Tahoma"/>
          <w:sz w:val="30"/>
          <w:szCs w:val="30"/>
        </w:rPr>
      </w:pPr>
      <w:r>
        <w:rPr>
          <w:rFonts w:ascii="Tahoma" w:hAnsi="Tahoma" w:cs="Tahoma"/>
          <w:sz w:val="30"/>
          <w:szCs w:val="30"/>
        </w:rPr>
        <w:t>A Legal Practitioner consulted or engaged to prepare agreement, instrument or document touching land shall notify the client that the fee chargeable and payable to him is as prescribed in the Scale set out in the Schedule to the Legal Practitioners' Remuneration Order, 2023, and that the same is not negotiable.</w:t>
      </w:r>
    </w:p>
    <w:p w14:paraId="386E7B0C">
      <w:pPr>
        <w:numPr>
          <w:ilvl w:val="1"/>
          <w:numId w:val="2"/>
        </w:numPr>
        <w:ind w:left="670" w:leftChars="0" w:hanging="670" w:firstLineChars="0"/>
        <w:jc w:val="both"/>
        <w:rPr>
          <w:rFonts w:ascii="Tahoma" w:hAnsi="Tahoma" w:cs="Tahoma"/>
          <w:sz w:val="30"/>
          <w:szCs w:val="30"/>
        </w:rPr>
      </w:pPr>
      <w:r>
        <w:rPr>
          <w:rFonts w:ascii="Tahoma" w:hAnsi="Tahoma" w:cs="Tahoma"/>
          <w:sz w:val="30"/>
          <w:szCs w:val="30"/>
        </w:rPr>
        <w:t>The Legal practitioner should make available to the client the NBA Branch designated account for him to make the appropriate payment after which payment the client would make available to the legal practitioner the evidence of the payment.</w:t>
      </w:r>
    </w:p>
    <w:p w14:paraId="4048ABC3">
      <w:pPr>
        <w:numPr>
          <w:ilvl w:val="1"/>
          <w:numId w:val="2"/>
        </w:numPr>
        <w:ind w:left="670" w:leftChars="0" w:hanging="670" w:firstLineChars="0"/>
        <w:jc w:val="both"/>
        <w:rPr>
          <w:rFonts w:ascii="Tahoma" w:hAnsi="Tahoma" w:cs="Tahoma"/>
          <w:sz w:val="30"/>
          <w:szCs w:val="30"/>
        </w:rPr>
      </w:pPr>
      <w:r>
        <w:rPr>
          <w:rFonts w:ascii="Tahoma" w:hAnsi="Tahoma" w:cs="Tahoma"/>
          <w:sz w:val="30"/>
          <w:szCs w:val="30"/>
        </w:rPr>
        <w:t xml:space="preserve">The legal practitioner shall then obtain and fill the </w:t>
      </w:r>
      <w:r>
        <w:rPr>
          <w:rFonts w:ascii="Tahoma" w:hAnsi="Tahoma" w:cs="Tahoma"/>
          <w:b/>
          <w:bCs/>
          <w:sz w:val="30"/>
          <w:szCs w:val="30"/>
        </w:rPr>
        <w:t>NBA INSTRUMENT AND AGREEMENT PREPARATION REGULATION FORM,</w:t>
      </w:r>
      <w:r>
        <w:rPr>
          <w:rFonts w:ascii="Tahoma" w:hAnsi="Tahoma" w:cs="Tahoma"/>
          <w:sz w:val="30"/>
          <w:szCs w:val="30"/>
        </w:rPr>
        <w:t xml:space="preserve"> attaching the evidence of payment sent or given to him by the client.</w:t>
      </w:r>
    </w:p>
    <w:p w14:paraId="3E90479A">
      <w:pPr>
        <w:numPr>
          <w:ilvl w:val="1"/>
          <w:numId w:val="2"/>
        </w:numPr>
        <w:ind w:left="670" w:leftChars="0" w:hanging="670" w:firstLineChars="0"/>
        <w:jc w:val="both"/>
        <w:rPr>
          <w:rFonts w:ascii="Tahoma" w:hAnsi="Tahoma" w:cs="Tahoma"/>
          <w:sz w:val="30"/>
          <w:szCs w:val="30"/>
        </w:rPr>
      </w:pPr>
      <w:r>
        <w:rPr>
          <w:rFonts w:ascii="Tahoma" w:hAnsi="Tahoma" w:cs="Tahoma"/>
          <w:sz w:val="30"/>
          <w:szCs w:val="30"/>
        </w:rPr>
        <w:t>The legal practitioner shall be issued by the NBA Branch with the Bar Instrument/Agreement Number (BAIN) Which shall be peculiar to the document to be prepared.</w:t>
      </w:r>
    </w:p>
    <w:p w14:paraId="1688A895">
      <w:pPr>
        <w:numPr>
          <w:ilvl w:val="1"/>
          <w:numId w:val="2"/>
        </w:numPr>
        <w:ind w:left="670" w:leftChars="0" w:hanging="670" w:firstLineChars="0"/>
        <w:jc w:val="both"/>
        <w:rPr>
          <w:rFonts w:ascii="Tahoma" w:hAnsi="Tahoma" w:cs="Tahoma"/>
          <w:sz w:val="30"/>
          <w:szCs w:val="30"/>
        </w:rPr>
      </w:pPr>
      <w:r>
        <w:rPr>
          <w:rFonts w:ascii="Tahoma" w:hAnsi="Tahoma" w:cs="Tahoma"/>
          <w:sz w:val="30"/>
          <w:szCs w:val="30"/>
        </w:rPr>
        <w:t>The legal practitioner shall then prepare the document and make it available to the client for execution.</w:t>
      </w:r>
    </w:p>
    <w:p w14:paraId="57D954EC">
      <w:pPr>
        <w:numPr>
          <w:ilvl w:val="1"/>
          <w:numId w:val="2"/>
        </w:numPr>
        <w:ind w:left="670" w:leftChars="0" w:hanging="670" w:firstLineChars="0"/>
        <w:jc w:val="both"/>
        <w:rPr>
          <w:rFonts w:ascii="Tahoma" w:hAnsi="Tahoma" w:cs="Tahoma"/>
          <w:sz w:val="30"/>
          <w:szCs w:val="30"/>
        </w:rPr>
      </w:pPr>
      <w:r>
        <w:rPr>
          <w:rFonts w:ascii="Tahoma" w:hAnsi="Tahoma" w:cs="Tahoma"/>
          <w:sz w:val="30"/>
          <w:szCs w:val="30"/>
        </w:rPr>
        <w:t>After the execution, the legal practitioner shall present the document to the NBA Branch where the property is located for authentication under the hand of the Branch Chairman who shall affix the special Seal of the Branch containing the peculiar BAIN of the instrument.</w:t>
      </w:r>
    </w:p>
    <w:p w14:paraId="6FFC38B1">
      <w:pPr>
        <w:numPr>
          <w:ilvl w:val="1"/>
          <w:numId w:val="2"/>
        </w:numPr>
        <w:ind w:left="670" w:leftChars="0" w:hanging="670" w:firstLineChars="0"/>
        <w:jc w:val="both"/>
        <w:rPr>
          <w:rFonts w:ascii="Tahoma" w:hAnsi="Tahoma" w:cs="Tahoma"/>
          <w:sz w:val="30"/>
          <w:szCs w:val="30"/>
        </w:rPr>
      </w:pPr>
      <w:r>
        <w:rPr>
          <w:rFonts w:ascii="Tahoma" w:hAnsi="Tahoma" w:cs="Tahoma"/>
          <w:sz w:val="30"/>
          <w:szCs w:val="30"/>
        </w:rPr>
        <w:t>The legal practitioner shall then deliver to the client the appropriate copies of the duly authenticated document.</w:t>
      </w:r>
    </w:p>
    <w:p w14:paraId="1383E0F6">
      <w:pPr>
        <w:numPr>
          <w:ilvl w:val="1"/>
          <w:numId w:val="2"/>
        </w:numPr>
        <w:ind w:left="670" w:leftChars="0" w:hanging="670" w:firstLineChars="0"/>
        <w:jc w:val="both"/>
        <w:rPr>
          <w:rFonts w:ascii="Tahoma" w:hAnsi="Tahoma" w:cs="Tahoma"/>
          <w:sz w:val="30"/>
          <w:szCs w:val="30"/>
        </w:rPr>
      </w:pPr>
      <w:r>
        <w:rPr>
          <w:rFonts w:hint="default" w:ascii="Tahoma" w:hAnsi="Tahoma" w:cs="Tahoma"/>
          <w:b/>
          <w:bCs/>
          <w:sz w:val="30"/>
          <w:szCs w:val="30"/>
          <w:lang w:val="en-US"/>
        </w:rPr>
        <w:pict>
          <v:shape id="_x0000_s1026" o:spid="_x0000_s1026" o:spt="75" alt="2024-12-16_18-47-26" type="#_x0000_t75" style="position:absolute;left:0pt;margin-left:106.6pt;margin-top:0.75pt;height:151.75pt;width:262.05pt;z-index:251659264;mso-width-relative:page;mso-height-relative:page;" filled="f" o:preferrelative="t" stroked="f" coordsize="21600,21600">
            <v:path/>
            <v:fill on="f" focussize="0,0"/>
            <v:stroke on="f"/>
            <v:imagedata r:id="rId6" o:title="2024-12-16_18-47-26"/>
            <o:lock v:ext="edit" aspectratio="t"/>
          </v:shape>
        </w:pict>
      </w:r>
      <w:r>
        <w:rPr>
          <w:rFonts w:ascii="Tahoma" w:hAnsi="Tahoma" w:cs="Tahoma"/>
          <w:sz w:val="30"/>
          <w:szCs w:val="30"/>
        </w:rPr>
        <w:t>The NBA Branch shall then pay over to the legal practitioner the fee paid by the client less 2% handing charge.</w:t>
      </w:r>
    </w:p>
    <w:p w14:paraId="49254AEB">
      <w:pPr>
        <w:ind w:left="360"/>
        <w:jc w:val="both"/>
        <w:rPr>
          <w:rFonts w:ascii="Tahoma" w:hAnsi="Tahoma" w:cs="Tahoma"/>
          <w:sz w:val="30"/>
          <w:szCs w:val="30"/>
        </w:rPr>
      </w:pPr>
    </w:p>
    <w:p w14:paraId="4B8C9E2F">
      <w:pPr>
        <w:ind w:left="360"/>
        <w:jc w:val="center"/>
        <w:rPr>
          <w:rFonts w:hint="default" w:ascii="Tahoma" w:hAnsi="Tahoma" w:cs="Tahoma"/>
          <w:b/>
          <w:bCs/>
          <w:sz w:val="30"/>
          <w:szCs w:val="30"/>
          <w:lang w:val="en-US"/>
        </w:rPr>
      </w:pPr>
    </w:p>
    <w:p w14:paraId="0E44C1F7">
      <w:pPr>
        <w:ind w:left="360"/>
        <w:jc w:val="center"/>
        <w:rPr>
          <w:rFonts w:hint="default" w:ascii="Tahoma" w:hAnsi="Tahoma" w:cs="Tahoma"/>
          <w:b/>
          <w:bCs/>
          <w:sz w:val="30"/>
          <w:szCs w:val="30"/>
          <w:lang w:val="en-US"/>
        </w:rPr>
      </w:pPr>
      <w:r>
        <w:rPr>
          <w:rFonts w:hint="default" w:ascii="Tahoma" w:hAnsi="Tahoma" w:cs="Tahoma"/>
          <w:b/>
          <w:bCs/>
          <w:sz w:val="30"/>
          <w:szCs w:val="30"/>
          <w:lang w:val="en-US"/>
        </w:rPr>
        <w:t>Martin Milkman, Esq</w:t>
      </w:r>
    </w:p>
    <w:p w14:paraId="60745D9C">
      <w:pPr>
        <w:ind w:left="360"/>
        <w:jc w:val="center"/>
        <w:rPr>
          <w:rFonts w:hint="default" w:ascii="Tahoma" w:hAnsi="Tahoma" w:cs="Tahoma"/>
          <w:b/>
          <w:bCs/>
          <w:sz w:val="30"/>
          <w:szCs w:val="30"/>
          <w:lang w:val="en-US"/>
        </w:rPr>
      </w:pPr>
      <w:r>
        <w:rPr>
          <w:rFonts w:hint="default" w:ascii="Tahoma" w:hAnsi="Tahoma" w:cs="Tahoma"/>
          <w:b/>
          <w:bCs/>
          <w:sz w:val="30"/>
          <w:szCs w:val="30"/>
          <w:lang w:val="en-US"/>
        </w:rPr>
        <w:t>Chairman NBA Jalingo Branch</w:t>
      </w:r>
    </w:p>
    <w:p w14:paraId="278FDEAC">
      <w:pPr>
        <w:ind w:left="360"/>
        <w:jc w:val="center"/>
        <w:rPr>
          <w:rFonts w:ascii="Tahoma" w:hAnsi="Tahoma" w:cs="Tahoma"/>
          <w:b/>
          <w:bCs/>
          <w:sz w:val="30"/>
          <w:szCs w:val="30"/>
        </w:rPr>
      </w:pPr>
      <w:bookmarkStart w:id="0" w:name="_GoBack"/>
      <w:bookmarkEnd w:id="0"/>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8B4063B"/>
    <w:multiLevelType w:val="multilevel"/>
    <w:tmpl w:val="68B4063B"/>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6F445C1A"/>
    <w:multiLevelType w:val="multilevel"/>
    <w:tmpl w:val="6F445C1A"/>
    <w:lvl w:ilvl="0" w:tentative="0">
      <w:start w:val="1"/>
      <w:numFmt w:val="lowerRoman"/>
      <w:lvlText w:val="%1."/>
      <w:lvlJc w:val="right"/>
      <w:pPr>
        <w:ind w:left="720" w:hanging="360"/>
      </w:pPr>
    </w:lvl>
    <w:lvl w:ilvl="1" w:tentative="0">
      <w:start w:val="1"/>
      <w:numFmt w:val="decimal"/>
      <w:lvlText w:val="%2."/>
      <w:lvlJc w:val="left"/>
      <w:pPr>
        <w:ind w:left="1440" w:hanging="360"/>
      </w:pPr>
      <w:rPr>
        <w:rFonts w:hint="default"/>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3"/>
  <w:doNotTrackMoves/>
  <w:documentProtection w:enforcement="0"/>
  <w:defaultTabStop w:val="720"/>
  <w:doNotShadeFormData w:val="1"/>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83974"/>
    <w:rsid w:val="00077C27"/>
    <w:rsid w:val="00483974"/>
    <w:rsid w:val="008C5E04"/>
    <w:rsid w:val="0B64362B"/>
    <w:rsid w:val="0F566D70"/>
    <w:rsid w:val="1A2F194F"/>
    <w:rsid w:val="586C5C8A"/>
    <w:rsid w:val="7E0B46A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SimSun" w:cs="Times New Roman"/>
      <w:sz w:val="22"/>
      <w:szCs w:val="22"/>
      <w:lang w:val="en-US" w:eastAsia="zh-CN"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443</Words>
  <Characters>2526</Characters>
  <Lines>21</Lines>
  <Paragraphs>5</Paragraphs>
  <TotalTime>6</TotalTime>
  <ScaleCrop>false</ScaleCrop>
  <LinksUpToDate>false</LinksUpToDate>
  <CharactersWithSpaces>2964</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2025-02-27T13:17:00Z</dcterms:created>
  <dc:creator>TECNO KG7h</dc:creator>
  <cp:lastModifiedBy>Martins Milkman Esq</cp:lastModifiedBy>
  <dcterms:modified xsi:type="dcterms:W3CDTF">2025-10-04T04:08:32Z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3c010d52819742d89c0d75730bb0c6f2</vt:lpwstr>
  </property>
  <property fmtid="{D5CDD505-2E9C-101B-9397-08002B2CF9AE}" pid="3" name="KSOProductBuildVer">
    <vt:lpwstr>1033-12.2.0.22549</vt:lpwstr>
  </property>
</Properties>
</file>